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2C81" w14:textId="47010930" w:rsidR="00DA7009" w:rsidRPr="00DA7009" w:rsidRDefault="00DA7009" w:rsidP="00DA7009">
      <w:pPr>
        <w:keepLines/>
        <w:tabs>
          <w:tab w:val="left" w:pos="393"/>
        </w:tabs>
        <w:spacing w:after="240" w:line="240" w:lineRule="auto"/>
        <w:rPr>
          <w:sz w:val="22"/>
          <w:szCs w:val="22"/>
        </w:rPr>
      </w:pPr>
      <w:r w:rsidRPr="00DA7009">
        <w:rPr>
          <w:sz w:val="22"/>
          <w:szCs w:val="22"/>
        </w:rPr>
        <w:t xml:space="preserve">The following is a summary of </w:t>
      </w:r>
      <w:proofErr w:type="gramStart"/>
      <w:r w:rsidRPr="00DA7009">
        <w:rPr>
          <w:sz w:val="22"/>
          <w:szCs w:val="22"/>
        </w:rPr>
        <w:t>all of</w:t>
      </w:r>
      <w:proofErr w:type="gramEnd"/>
      <w:r w:rsidRPr="00DA7009">
        <w:rPr>
          <w:sz w:val="22"/>
          <w:szCs w:val="22"/>
        </w:rPr>
        <w:t xml:space="preserve"> the fees connected with the Town of West Kewaunee Zoning Ordinance.</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2"/>
        <w:gridCol w:w="2915"/>
      </w:tblGrid>
      <w:tr w:rsidR="00DA7009" w:rsidRPr="00DA7009" w14:paraId="1552E926" w14:textId="77777777" w:rsidTr="003142FD">
        <w:trPr>
          <w:trHeight w:val="819"/>
        </w:trPr>
        <w:tc>
          <w:tcPr>
            <w:tcW w:w="6732" w:type="dxa"/>
            <w:tcBorders>
              <w:bottom w:val="single" w:sz="4" w:space="0" w:color="auto"/>
            </w:tcBorders>
            <w:shd w:val="clear" w:color="auto" w:fill="FFFF00"/>
            <w:vAlign w:val="bottom"/>
          </w:tcPr>
          <w:p w14:paraId="08D91580" w14:textId="77777777" w:rsidR="00DA7009" w:rsidRPr="00DA7009" w:rsidRDefault="00DA7009" w:rsidP="00662BDE">
            <w:pPr>
              <w:keepLines/>
              <w:tabs>
                <w:tab w:val="left" w:pos="-720"/>
                <w:tab w:val="left" w:pos="600"/>
                <w:tab w:val="left" w:pos="720"/>
              </w:tabs>
              <w:spacing w:after="120" w:line="240" w:lineRule="atLeast"/>
              <w:ind w:left="360" w:hanging="360"/>
              <w:jc w:val="center"/>
              <w:rPr>
                <w:b/>
                <w:sz w:val="22"/>
                <w:szCs w:val="22"/>
              </w:rPr>
            </w:pPr>
            <w:r w:rsidRPr="00DA7009">
              <w:rPr>
                <w:b/>
                <w:sz w:val="22"/>
                <w:szCs w:val="22"/>
              </w:rPr>
              <w:t>Building Permit or Hearing</w:t>
            </w:r>
          </w:p>
        </w:tc>
        <w:tc>
          <w:tcPr>
            <w:tcW w:w="2915" w:type="dxa"/>
            <w:tcBorders>
              <w:bottom w:val="single" w:sz="4" w:space="0" w:color="auto"/>
            </w:tcBorders>
            <w:shd w:val="clear" w:color="auto" w:fill="FFFF00"/>
            <w:vAlign w:val="center"/>
          </w:tcPr>
          <w:p w14:paraId="0B1A91AA" w14:textId="77777777" w:rsidR="00DA7009" w:rsidRPr="00DA7009" w:rsidRDefault="00DA7009" w:rsidP="00662BDE">
            <w:pPr>
              <w:keepLines/>
              <w:tabs>
                <w:tab w:val="left" w:pos="-720"/>
                <w:tab w:val="left" w:pos="600"/>
                <w:tab w:val="left" w:pos="720"/>
              </w:tabs>
              <w:spacing w:after="120" w:line="240" w:lineRule="atLeast"/>
              <w:ind w:left="360" w:hanging="360"/>
              <w:jc w:val="center"/>
              <w:rPr>
                <w:b/>
                <w:sz w:val="22"/>
                <w:szCs w:val="22"/>
              </w:rPr>
            </w:pPr>
            <w:r w:rsidRPr="00DA7009">
              <w:rPr>
                <w:b/>
                <w:sz w:val="22"/>
                <w:szCs w:val="22"/>
              </w:rPr>
              <w:t>Fee</w:t>
            </w:r>
          </w:p>
        </w:tc>
      </w:tr>
      <w:tr w:rsidR="00DA7009" w:rsidRPr="00DA7009" w14:paraId="3B10B720" w14:textId="77777777" w:rsidTr="003142FD">
        <w:trPr>
          <w:trHeight w:val="70"/>
        </w:trPr>
        <w:tc>
          <w:tcPr>
            <w:tcW w:w="6732" w:type="dxa"/>
            <w:tcBorders>
              <w:left w:val="nil"/>
              <w:bottom w:val="single" w:sz="4" w:space="0" w:color="auto"/>
              <w:right w:val="nil"/>
            </w:tcBorders>
            <w:shd w:val="clear" w:color="auto" w:fill="auto"/>
            <w:vAlign w:val="center"/>
          </w:tcPr>
          <w:p w14:paraId="28C707BC" w14:textId="77777777" w:rsidR="00DA7009" w:rsidRPr="00DA7009" w:rsidRDefault="00DA7009" w:rsidP="00662BDE">
            <w:pPr>
              <w:keepLines/>
              <w:tabs>
                <w:tab w:val="left" w:pos="-720"/>
              </w:tabs>
              <w:spacing w:after="120" w:line="240" w:lineRule="atLeast"/>
              <w:ind w:left="540"/>
              <w:jc w:val="left"/>
              <w:rPr>
                <w:sz w:val="22"/>
                <w:szCs w:val="22"/>
              </w:rPr>
            </w:pPr>
          </w:p>
        </w:tc>
        <w:tc>
          <w:tcPr>
            <w:tcW w:w="2915" w:type="dxa"/>
            <w:tcBorders>
              <w:top w:val="single" w:sz="4" w:space="0" w:color="auto"/>
              <w:left w:val="nil"/>
              <w:bottom w:val="single" w:sz="4" w:space="0" w:color="auto"/>
              <w:right w:val="nil"/>
            </w:tcBorders>
            <w:shd w:val="clear" w:color="auto" w:fill="auto"/>
            <w:vAlign w:val="center"/>
          </w:tcPr>
          <w:p w14:paraId="76808239" w14:textId="77777777" w:rsidR="00DA7009" w:rsidRPr="00DA7009" w:rsidRDefault="00DA7009" w:rsidP="00662BDE">
            <w:pPr>
              <w:keepLines/>
              <w:tabs>
                <w:tab w:val="left" w:pos="-720"/>
                <w:tab w:val="left" w:pos="0"/>
                <w:tab w:val="left" w:pos="720"/>
              </w:tabs>
              <w:spacing w:after="120" w:line="240" w:lineRule="atLeast"/>
              <w:jc w:val="left"/>
              <w:rPr>
                <w:sz w:val="22"/>
                <w:szCs w:val="22"/>
              </w:rPr>
            </w:pPr>
          </w:p>
        </w:tc>
      </w:tr>
      <w:tr w:rsidR="00DA7009" w:rsidRPr="00DA7009" w14:paraId="525DC0C4" w14:textId="77777777" w:rsidTr="003142FD">
        <w:trPr>
          <w:trHeight w:val="2708"/>
        </w:trPr>
        <w:tc>
          <w:tcPr>
            <w:tcW w:w="6732" w:type="dxa"/>
            <w:tcBorders>
              <w:top w:val="single" w:sz="4" w:space="0" w:color="auto"/>
              <w:left w:val="single" w:sz="4" w:space="0" w:color="auto"/>
              <w:bottom w:val="single" w:sz="4" w:space="0" w:color="auto"/>
            </w:tcBorders>
            <w:shd w:val="clear" w:color="auto" w:fill="auto"/>
          </w:tcPr>
          <w:p w14:paraId="0B4E0831" w14:textId="77777777" w:rsidR="00DA7009" w:rsidRPr="00DA7009" w:rsidRDefault="00DA7009" w:rsidP="00662BDE">
            <w:pPr>
              <w:keepLines/>
              <w:numPr>
                <w:ilvl w:val="0"/>
                <w:numId w:val="1"/>
              </w:numPr>
              <w:tabs>
                <w:tab w:val="clear" w:pos="1320"/>
                <w:tab w:val="left" w:pos="-720"/>
              </w:tabs>
              <w:spacing w:before="240" w:after="120" w:line="240" w:lineRule="auto"/>
              <w:ind w:left="547"/>
              <w:jc w:val="left"/>
              <w:rPr>
                <w:sz w:val="22"/>
                <w:szCs w:val="22"/>
              </w:rPr>
            </w:pPr>
            <w:r w:rsidRPr="00DA7009">
              <w:rPr>
                <w:sz w:val="22"/>
                <w:szCs w:val="22"/>
              </w:rPr>
              <w:t>Building Permit</w:t>
            </w:r>
          </w:p>
          <w:p w14:paraId="4B9CF0CE" w14:textId="77777777" w:rsidR="00DA7009" w:rsidRPr="00DA7009" w:rsidRDefault="00DA7009" w:rsidP="00662BDE">
            <w:pPr>
              <w:keepLines/>
              <w:numPr>
                <w:ilvl w:val="1"/>
                <w:numId w:val="1"/>
              </w:numPr>
              <w:tabs>
                <w:tab w:val="clear" w:pos="2040"/>
                <w:tab w:val="left" w:pos="-720"/>
                <w:tab w:val="left" w:pos="720"/>
              </w:tabs>
              <w:spacing w:after="240" w:line="240" w:lineRule="atLeast"/>
              <w:ind w:left="1080"/>
              <w:jc w:val="left"/>
              <w:rPr>
                <w:sz w:val="22"/>
                <w:szCs w:val="22"/>
              </w:rPr>
            </w:pPr>
            <w:r w:rsidRPr="00DA7009">
              <w:rPr>
                <w:sz w:val="22"/>
                <w:szCs w:val="22"/>
              </w:rPr>
              <w:t xml:space="preserve">New one family &amp; </w:t>
            </w:r>
            <w:proofErr w:type="gramStart"/>
            <w:r w:rsidRPr="00DA7009">
              <w:rPr>
                <w:sz w:val="22"/>
                <w:szCs w:val="22"/>
              </w:rPr>
              <w:t>two family</w:t>
            </w:r>
            <w:proofErr w:type="gramEnd"/>
            <w:r w:rsidRPr="00DA7009">
              <w:rPr>
                <w:sz w:val="22"/>
                <w:szCs w:val="22"/>
              </w:rPr>
              <w:t xml:space="preserve"> dwelling</w:t>
            </w:r>
          </w:p>
          <w:p w14:paraId="5ECEE0BB" w14:textId="77777777" w:rsidR="00DA7009" w:rsidRPr="00DA7009" w:rsidRDefault="00DA7009" w:rsidP="00662BDE">
            <w:pPr>
              <w:keepLines/>
              <w:numPr>
                <w:ilvl w:val="1"/>
                <w:numId w:val="1"/>
              </w:numPr>
              <w:tabs>
                <w:tab w:val="clear" w:pos="2040"/>
                <w:tab w:val="left" w:pos="-720"/>
                <w:tab w:val="left" w:pos="720"/>
              </w:tabs>
              <w:spacing w:before="360" w:after="240" w:line="240" w:lineRule="atLeast"/>
              <w:ind w:left="1080"/>
              <w:jc w:val="left"/>
              <w:rPr>
                <w:sz w:val="22"/>
                <w:szCs w:val="22"/>
              </w:rPr>
            </w:pPr>
            <w:r w:rsidRPr="00DA7009">
              <w:rPr>
                <w:sz w:val="22"/>
                <w:szCs w:val="22"/>
              </w:rPr>
              <w:t>Building, structure, addition or storage/tool shed &gt; 100 square feet</w:t>
            </w:r>
          </w:p>
          <w:p w14:paraId="4190543A" w14:textId="26046629" w:rsidR="00DA7009" w:rsidRPr="00DA7009" w:rsidRDefault="00DA7009" w:rsidP="00662BDE">
            <w:pPr>
              <w:keepLines/>
              <w:numPr>
                <w:ilvl w:val="1"/>
                <w:numId w:val="1"/>
              </w:numPr>
              <w:tabs>
                <w:tab w:val="clear" w:pos="2040"/>
                <w:tab w:val="left" w:pos="-720"/>
                <w:tab w:val="left" w:pos="720"/>
              </w:tabs>
              <w:spacing w:after="240" w:line="240" w:lineRule="atLeast"/>
              <w:ind w:left="1080"/>
              <w:jc w:val="left"/>
              <w:rPr>
                <w:sz w:val="22"/>
                <w:szCs w:val="22"/>
              </w:rPr>
            </w:pPr>
            <w:r w:rsidRPr="00DA7009">
              <w:rPr>
                <w:sz w:val="22"/>
                <w:szCs w:val="22"/>
              </w:rPr>
              <w:t>Deck, porch or patio</w:t>
            </w:r>
          </w:p>
        </w:tc>
        <w:tc>
          <w:tcPr>
            <w:tcW w:w="2915" w:type="dxa"/>
            <w:tcBorders>
              <w:top w:val="single" w:sz="4" w:space="0" w:color="auto"/>
              <w:bottom w:val="single" w:sz="4" w:space="0" w:color="auto"/>
            </w:tcBorders>
            <w:shd w:val="clear" w:color="auto" w:fill="auto"/>
          </w:tcPr>
          <w:p w14:paraId="58FC1D4B" w14:textId="77777777" w:rsidR="00DA7009" w:rsidRPr="00DA7009" w:rsidRDefault="00DA7009" w:rsidP="00662BDE">
            <w:pPr>
              <w:keepLines/>
              <w:tabs>
                <w:tab w:val="left" w:pos="-720"/>
              </w:tabs>
              <w:spacing w:before="680" w:after="240" w:line="240" w:lineRule="atLeast"/>
              <w:jc w:val="right"/>
              <w:rPr>
                <w:sz w:val="22"/>
                <w:szCs w:val="22"/>
              </w:rPr>
            </w:pPr>
            <w:r w:rsidRPr="00DA7009">
              <w:rPr>
                <w:sz w:val="22"/>
                <w:szCs w:val="22"/>
              </w:rPr>
              <w:t>The greater of $ 25.00 or $1.00 per $ 1,000.00 value</w:t>
            </w:r>
          </w:p>
          <w:p w14:paraId="5AFCB97C" w14:textId="77777777" w:rsidR="00DA7009" w:rsidRPr="00DA7009" w:rsidRDefault="00DA7009" w:rsidP="00662BDE">
            <w:pPr>
              <w:keepLines/>
              <w:tabs>
                <w:tab w:val="left" w:pos="-720"/>
              </w:tabs>
              <w:spacing w:before="80" w:after="240" w:line="240" w:lineRule="atLeast"/>
              <w:jc w:val="right"/>
              <w:rPr>
                <w:sz w:val="22"/>
                <w:szCs w:val="22"/>
              </w:rPr>
            </w:pPr>
            <w:r w:rsidRPr="00DA7009">
              <w:rPr>
                <w:sz w:val="22"/>
                <w:szCs w:val="22"/>
              </w:rPr>
              <w:t>The greater of $ 25.00 or $1.00 per $ 1,000.00 value</w:t>
            </w:r>
          </w:p>
          <w:p w14:paraId="2C64B1D3" w14:textId="1FCFF0CC" w:rsidR="00DA7009" w:rsidRPr="00DA7009" w:rsidRDefault="00DA7009" w:rsidP="00662BDE">
            <w:pPr>
              <w:keepLines/>
              <w:tabs>
                <w:tab w:val="left" w:pos="-720"/>
              </w:tabs>
              <w:spacing w:after="240" w:line="240" w:lineRule="atLeast"/>
              <w:jc w:val="right"/>
              <w:rPr>
                <w:sz w:val="22"/>
                <w:szCs w:val="22"/>
              </w:rPr>
            </w:pPr>
            <w:r w:rsidRPr="00DA7009">
              <w:rPr>
                <w:sz w:val="22"/>
                <w:szCs w:val="22"/>
              </w:rPr>
              <w:t>$ 25.0</w:t>
            </w:r>
            <w:r w:rsidR="003142FD">
              <w:rPr>
                <w:sz w:val="22"/>
                <w:szCs w:val="22"/>
              </w:rPr>
              <w:t>0</w:t>
            </w:r>
          </w:p>
          <w:p w14:paraId="2E06B515" w14:textId="77777777" w:rsidR="00DA7009" w:rsidRPr="00DA7009" w:rsidRDefault="00DA7009" w:rsidP="00662BDE">
            <w:pPr>
              <w:keepLines/>
              <w:tabs>
                <w:tab w:val="left" w:pos="-720"/>
              </w:tabs>
              <w:spacing w:after="240" w:line="240" w:lineRule="atLeast"/>
              <w:jc w:val="right"/>
              <w:rPr>
                <w:sz w:val="22"/>
                <w:szCs w:val="22"/>
              </w:rPr>
            </w:pPr>
          </w:p>
        </w:tc>
      </w:tr>
      <w:tr w:rsidR="00DA7009" w:rsidRPr="00DA7009" w14:paraId="0078FED6" w14:textId="77777777" w:rsidTr="003142FD">
        <w:trPr>
          <w:trHeight w:val="70"/>
        </w:trPr>
        <w:tc>
          <w:tcPr>
            <w:tcW w:w="6732" w:type="dxa"/>
            <w:tcBorders>
              <w:bottom w:val="nil"/>
              <w:right w:val="single" w:sz="4" w:space="0" w:color="auto"/>
            </w:tcBorders>
            <w:shd w:val="clear" w:color="auto" w:fill="auto"/>
            <w:vAlign w:val="center"/>
          </w:tcPr>
          <w:p w14:paraId="71B90CBF" w14:textId="77777777" w:rsidR="00DA7009" w:rsidRPr="00DA7009" w:rsidRDefault="00DA7009" w:rsidP="00662BDE">
            <w:pPr>
              <w:keepLines/>
              <w:tabs>
                <w:tab w:val="left" w:pos="-720"/>
              </w:tabs>
              <w:spacing w:after="120" w:line="240" w:lineRule="atLeast"/>
              <w:ind w:left="540"/>
              <w:jc w:val="left"/>
              <w:rPr>
                <w:sz w:val="22"/>
                <w:szCs w:val="22"/>
              </w:rPr>
            </w:pPr>
          </w:p>
        </w:tc>
        <w:tc>
          <w:tcPr>
            <w:tcW w:w="2915" w:type="dxa"/>
            <w:tcBorders>
              <w:left w:val="single" w:sz="4" w:space="0" w:color="auto"/>
              <w:bottom w:val="nil"/>
            </w:tcBorders>
            <w:shd w:val="clear" w:color="auto" w:fill="auto"/>
            <w:vAlign w:val="center"/>
          </w:tcPr>
          <w:p w14:paraId="632AEAA7" w14:textId="77777777" w:rsidR="00DA7009" w:rsidRPr="00DA7009" w:rsidRDefault="00DA7009" w:rsidP="00662BDE">
            <w:pPr>
              <w:keepLines/>
              <w:tabs>
                <w:tab w:val="left" w:pos="-720"/>
                <w:tab w:val="left" w:pos="0"/>
                <w:tab w:val="left" w:pos="720"/>
              </w:tabs>
              <w:spacing w:after="120" w:line="240" w:lineRule="atLeast"/>
              <w:jc w:val="right"/>
              <w:rPr>
                <w:sz w:val="22"/>
                <w:szCs w:val="22"/>
              </w:rPr>
            </w:pPr>
          </w:p>
        </w:tc>
      </w:tr>
      <w:tr w:rsidR="00DA7009" w:rsidRPr="00DA7009" w14:paraId="7153B03F" w14:textId="77777777" w:rsidTr="003142FD">
        <w:trPr>
          <w:trHeight w:val="576"/>
        </w:trPr>
        <w:tc>
          <w:tcPr>
            <w:tcW w:w="6732" w:type="dxa"/>
            <w:tcBorders>
              <w:top w:val="nil"/>
            </w:tcBorders>
            <w:shd w:val="clear" w:color="auto" w:fill="auto"/>
            <w:vAlign w:val="center"/>
          </w:tcPr>
          <w:p w14:paraId="3CD4F604" w14:textId="77777777" w:rsidR="00DA7009" w:rsidRPr="00DA7009" w:rsidRDefault="00DA7009" w:rsidP="00662BDE">
            <w:pPr>
              <w:keepLines/>
              <w:numPr>
                <w:ilvl w:val="0"/>
                <w:numId w:val="1"/>
              </w:numPr>
              <w:tabs>
                <w:tab w:val="clear" w:pos="1320"/>
                <w:tab w:val="left" w:pos="-720"/>
              </w:tabs>
              <w:spacing w:after="120" w:line="240" w:lineRule="atLeast"/>
              <w:ind w:left="540"/>
              <w:jc w:val="left"/>
              <w:rPr>
                <w:sz w:val="22"/>
                <w:szCs w:val="22"/>
              </w:rPr>
            </w:pPr>
            <w:r w:rsidRPr="00DA7009">
              <w:rPr>
                <w:sz w:val="22"/>
                <w:szCs w:val="22"/>
              </w:rPr>
              <w:t>Appeals Application</w:t>
            </w:r>
          </w:p>
        </w:tc>
        <w:tc>
          <w:tcPr>
            <w:tcW w:w="2915" w:type="dxa"/>
            <w:tcBorders>
              <w:top w:val="nil"/>
            </w:tcBorders>
            <w:shd w:val="clear" w:color="auto" w:fill="auto"/>
            <w:vAlign w:val="center"/>
          </w:tcPr>
          <w:p w14:paraId="50EEB99E" w14:textId="4142C1B1" w:rsidR="00DA7009" w:rsidRPr="00DA7009" w:rsidRDefault="00DA7009" w:rsidP="00662BDE">
            <w:pPr>
              <w:keepLines/>
              <w:tabs>
                <w:tab w:val="left" w:pos="-720"/>
                <w:tab w:val="left" w:pos="0"/>
                <w:tab w:val="left" w:pos="720"/>
              </w:tabs>
              <w:spacing w:after="120" w:line="240" w:lineRule="atLeast"/>
              <w:jc w:val="right"/>
              <w:rPr>
                <w:sz w:val="22"/>
                <w:szCs w:val="22"/>
              </w:rPr>
            </w:pPr>
            <w:r w:rsidRPr="00DA7009">
              <w:rPr>
                <w:sz w:val="22"/>
                <w:szCs w:val="22"/>
              </w:rPr>
              <w:t>$</w:t>
            </w:r>
            <w:r w:rsidR="00B94D14">
              <w:rPr>
                <w:sz w:val="22"/>
                <w:szCs w:val="22"/>
              </w:rPr>
              <w:t>35</w:t>
            </w:r>
            <w:r w:rsidRPr="00DA7009">
              <w:rPr>
                <w:sz w:val="22"/>
                <w:szCs w:val="22"/>
              </w:rPr>
              <w:t>0.00</w:t>
            </w:r>
          </w:p>
        </w:tc>
      </w:tr>
      <w:tr w:rsidR="00DA7009" w:rsidRPr="00DA7009" w14:paraId="6A7A3017" w14:textId="77777777" w:rsidTr="003142FD">
        <w:trPr>
          <w:trHeight w:val="576"/>
        </w:trPr>
        <w:tc>
          <w:tcPr>
            <w:tcW w:w="6732" w:type="dxa"/>
            <w:shd w:val="clear" w:color="auto" w:fill="auto"/>
            <w:vAlign w:val="center"/>
          </w:tcPr>
          <w:p w14:paraId="329D5686" w14:textId="77777777" w:rsidR="00DA7009" w:rsidRPr="00DA7009" w:rsidRDefault="00DA7009" w:rsidP="00662BDE">
            <w:pPr>
              <w:keepLines/>
              <w:numPr>
                <w:ilvl w:val="0"/>
                <w:numId w:val="1"/>
              </w:numPr>
              <w:tabs>
                <w:tab w:val="clear" w:pos="1320"/>
                <w:tab w:val="left" w:pos="-720"/>
              </w:tabs>
              <w:spacing w:after="120" w:line="240" w:lineRule="atLeast"/>
              <w:ind w:left="540"/>
              <w:jc w:val="left"/>
              <w:rPr>
                <w:sz w:val="22"/>
                <w:szCs w:val="22"/>
              </w:rPr>
            </w:pPr>
            <w:r w:rsidRPr="00DA7009">
              <w:rPr>
                <w:sz w:val="22"/>
                <w:szCs w:val="22"/>
              </w:rPr>
              <w:t>Variance Application</w:t>
            </w:r>
          </w:p>
        </w:tc>
        <w:tc>
          <w:tcPr>
            <w:tcW w:w="2915" w:type="dxa"/>
            <w:shd w:val="clear" w:color="auto" w:fill="auto"/>
            <w:vAlign w:val="center"/>
          </w:tcPr>
          <w:p w14:paraId="590D3369" w14:textId="2AC20A1E" w:rsidR="00DA7009" w:rsidRPr="00DA7009" w:rsidRDefault="00DA7009" w:rsidP="00662BDE">
            <w:pPr>
              <w:keepLines/>
              <w:tabs>
                <w:tab w:val="left" w:pos="-720"/>
                <w:tab w:val="left" w:pos="0"/>
                <w:tab w:val="left" w:pos="720"/>
              </w:tabs>
              <w:spacing w:after="120" w:line="240" w:lineRule="atLeast"/>
              <w:jc w:val="right"/>
              <w:rPr>
                <w:sz w:val="22"/>
                <w:szCs w:val="22"/>
              </w:rPr>
            </w:pPr>
            <w:r w:rsidRPr="00DA7009">
              <w:rPr>
                <w:sz w:val="22"/>
                <w:szCs w:val="22"/>
              </w:rPr>
              <w:t>$</w:t>
            </w:r>
            <w:r w:rsidR="00B94D14">
              <w:rPr>
                <w:sz w:val="22"/>
                <w:szCs w:val="22"/>
              </w:rPr>
              <w:t>35</w:t>
            </w:r>
            <w:r w:rsidRPr="00DA7009">
              <w:rPr>
                <w:sz w:val="22"/>
                <w:szCs w:val="22"/>
              </w:rPr>
              <w:t>0.00</w:t>
            </w:r>
          </w:p>
        </w:tc>
      </w:tr>
      <w:tr w:rsidR="00DA7009" w:rsidRPr="00DA7009" w14:paraId="4DEC903A" w14:textId="77777777" w:rsidTr="003142FD">
        <w:trPr>
          <w:trHeight w:val="576"/>
        </w:trPr>
        <w:tc>
          <w:tcPr>
            <w:tcW w:w="6732" w:type="dxa"/>
            <w:shd w:val="clear" w:color="auto" w:fill="auto"/>
            <w:vAlign w:val="center"/>
          </w:tcPr>
          <w:p w14:paraId="6C93C03D" w14:textId="77777777" w:rsidR="00DA7009" w:rsidRPr="00DA7009" w:rsidRDefault="00DA7009" w:rsidP="00662BDE">
            <w:pPr>
              <w:keepLines/>
              <w:numPr>
                <w:ilvl w:val="0"/>
                <w:numId w:val="1"/>
              </w:numPr>
              <w:tabs>
                <w:tab w:val="clear" w:pos="1320"/>
                <w:tab w:val="left" w:pos="-720"/>
              </w:tabs>
              <w:spacing w:after="120" w:line="240" w:lineRule="atLeast"/>
              <w:ind w:left="540"/>
              <w:jc w:val="left"/>
              <w:rPr>
                <w:sz w:val="22"/>
                <w:szCs w:val="22"/>
              </w:rPr>
            </w:pPr>
            <w:r w:rsidRPr="00DA7009">
              <w:rPr>
                <w:sz w:val="22"/>
                <w:szCs w:val="22"/>
              </w:rPr>
              <w:t>Conditional Use Application</w:t>
            </w:r>
          </w:p>
        </w:tc>
        <w:tc>
          <w:tcPr>
            <w:tcW w:w="2915" w:type="dxa"/>
            <w:shd w:val="clear" w:color="auto" w:fill="auto"/>
            <w:vAlign w:val="center"/>
          </w:tcPr>
          <w:p w14:paraId="7B42D4D9" w14:textId="5434B53C" w:rsidR="00DA7009" w:rsidRPr="00DA7009" w:rsidRDefault="00DA7009" w:rsidP="00662BDE">
            <w:pPr>
              <w:keepLines/>
              <w:tabs>
                <w:tab w:val="left" w:pos="-1440"/>
                <w:tab w:val="left" w:pos="-720"/>
                <w:tab w:val="left" w:pos="0"/>
                <w:tab w:val="left" w:pos="720"/>
                <w:tab w:val="left" w:pos="1440"/>
                <w:tab w:val="left" w:pos="2160"/>
                <w:tab w:val="left" w:pos="2880"/>
                <w:tab w:val="left" w:pos="3600"/>
                <w:tab w:val="left" w:pos="4320"/>
                <w:tab w:val="right" w:leader="dot" w:pos="7200"/>
              </w:tabs>
              <w:spacing w:after="120" w:line="240" w:lineRule="atLeast"/>
              <w:jc w:val="right"/>
              <w:rPr>
                <w:sz w:val="22"/>
                <w:szCs w:val="22"/>
              </w:rPr>
            </w:pPr>
            <w:r w:rsidRPr="00DA7009">
              <w:rPr>
                <w:sz w:val="22"/>
                <w:szCs w:val="22"/>
              </w:rPr>
              <w:t>$</w:t>
            </w:r>
            <w:r w:rsidR="00B94D14">
              <w:rPr>
                <w:sz w:val="22"/>
                <w:szCs w:val="22"/>
              </w:rPr>
              <w:t>35</w:t>
            </w:r>
            <w:r w:rsidRPr="00DA7009">
              <w:rPr>
                <w:sz w:val="22"/>
                <w:szCs w:val="22"/>
              </w:rPr>
              <w:t>0.00</w:t>
            </w:r>
          </w:p>
        </w:tc>
      </w:tr>
      <w:tr w:rsidR="00DA7009" w:rsidRPr="00DA7009" w14:paraId="302A6E22" w14:textId="77777777" w:rsidTr="003142FD">
        <w:trPr>
          <w:trHeight w:val="576"/>
        </w:trPr>
        <w:tc>
          <w:tcPr>
            <w:tcW w:w="6732" w:type="dxa"/>
            <w:shd w:val="clear" w:color="auto" w:fill="auto"/>
            <w:vAlign w:val="center"/>
          </w:tcPr>
          <w:p w14:paraId="0765E39B" w14:textId="77777777" w:rsidR="00DA7009" w:rsidRPr="00DA7009" w:rsidRDefault="00DA7009" w:rsidP="00662BDE">
            <w:pPr>
              <w:keepLines/>
              <w:numPr>
                <w:ilvl w:val="0"/>
                <w:numId w:val="1"/>
              </w:numPr>
              <w:tabs>
                <w:tab w:val="clear" w:pos="1320"/>
                <w:tab w:val="left" w:pos="-720"/>
              </w:tabs>
              <w:spacing w:after="120" w:line="240" w:lineRule="atLeast"/>
              <w:ind w:left="540"/>
              <w:jc w:val="left"/>
              <w:rPr>
                <w:sz w:val="22"/>
                <w:szCs w:val="22"/>
              </w:rPr>
            </w:pPr>
            <w:r w:rsidRPr="00DA7009">
              <w:rPr>
                <w:sz w:val="22"/>
                <w:szCs w:val="22"/>
              </w:rPr>
              <w:t>Rezoning</w:t>
            </w:r>
          </w:p>
        </w:tc>
        <w:tc>
          <w:tcPr>
            <w:tcW w:w="2915" w:type="dxa"/>
            <w:shd w:val="clear" w:color="auto" w:fill="auto"/>
            <w:vAlign w:val="center"/>
          </w:tcPr>
          <w:p w14:paraId="6AD95F50" w14:textId="2CAED45D" w:rsidR="00DA7009" w:rsidRPr="00DA7009" w:rsidRDefault="00DA7009" w:rsidP="00662BDE">
            <w:pPr>
              <w:keepLines/>
              <w:tabs>
                <w:tab w:val="left" w:pos="-720"/>
                <w:tab w:val="left" w:pos="0"/>
                <w:tab w:val="left" w:pos="720"/>
              </w:tabs>
              <w:spacing w:after="120" w:line="240" w:lineRule="atLeast"/>
              <w:jc w:val="right"/>
              <w:rPr>
                <w:sz w:val="22"/>
                <w:szCs w:val="22"/>
              </w:rPr>
            </w:pPr>
            <w:r w:rsidRPr="00DA7009">
              <w:rPr>
                <w:sz w:val="22"/>
                <w:szCs w:val="22"/>
              </w:rPr>
              <w:t>$</w:t>
            </w:r>
            <w:r w:rsidR="00B94D14">
              <w:rPr>
                <w:sz w:val="22"/>
                <w:szCs w:val="22"/>
              </w:rPr>
              <w:t>35</w:t>
            </w:r>
            <w:r w:rsidRPr="00DA7009">
              <w:rPr>
                <w:sz w:val="22"/>
                <w:szCs w:val="22"/>
              </w:rPr>
              <w:t>0.00</w:t>
            </w:r>
          </w:p>
        </w:tc>
      </w:tr>
      <w:tr w:rsidR="00DA7009" w:rsidRPr="00DA7009" w14:paraId="336575C0" w14:textId="77777777" w:rsidTr="003142FD">
        <w:trPr>
          <w:trHeight w:val="576"/>
        </w:trPr>
        <w:tc>
          <w:tcPr>
            <w:tcW w:w="6732" w:type="dxa"/>
            <w:shd w:val="clear" w:color="auto" w:fill="auto"/>
            <w:vAlign w:val="center"/>
          </w:tcPr>
          <w:p w14:paraId="66CFE1BF" w14:textId="713ED702" w:rsidR="00DA7009" w:rsidRPr="003142FD" w:rsidRDefault="00DA7009" w:rsidP="00662BDE">
            <w:pPr>
              <w:keepLines/>
              <w:numPr>
                <w:ilvl w:val="0"/>
                <w:numId w:val="1"/>
              </w:numPr>
              <w:tabs>
                <w:tab w:val="clear" w:pos="1320"/>
                <w:tab w:val="left" w:pos="-720"/>
              </w:tabs>
              <w:spacing w:after="120" w:line="240" w:lineRule="atLeast"/>
              <w:ind w:left="540"/>
              <w:jc w:val="left"/>
              <w:rPr>
                <w:sz w:val="20"/>
                <w:szCs w:val="20"/>
              </w:rPr>
            </w:pPr>
            <w:r w:rsidRPr="003142FD">
              <w:rPr>
                <w:sz w:val="20"/>
                <w:szCs w:val="20"/>
              </w:rPr>
              <w:t>Underground Wire and Cable</w:t>
            </w:r>
          </w:p>
        </w:tc>
        <w:tc>
          <w:tcPr>
            <w:tcW w:w="2915" w:type="dxa"/>
            <w:shd w:val="clear" w:color="auto" w:fill="auto"/>
            <w:vAlign w:val="center"/>
          </w:tcPr>
          <w:p w14:paraId="57AA8678" w14:textId="77777777" w:rsidR="00DA7009" w:rsidRPr="003142FD" w:rsidRDefault="00DA7009" w:rsidP="00662BDE">
            <w:pPr>
              <w:keepLines/>
              <w:tabs>
                <w:tab w:val="left" w:pos="-720"/>
                <w:tab w:val="left" w:pos="0"/>
                <w:tab w:val="left" w:pos="720"/>
              </w:tabs>
              <w:spacing w:after="120" w:line="240" w:lineRule="atLeast"/>
              <w:jc w:val="right"/>
              <w:rPr>
                <w:sz w:val="20"/>
                <w:szCs w:val="20"/>
              </w:rPr>
            </w:pPr>
            <w:r w:rsidRPr="003142FD">
              <w:rPr>
                <w:sz w:val="20"/>
                <w:szCs w:val="20"/>
              </w:rPr>
              <w:t>$50.00 per mile</w:t>
            </w:r>
          </w:p>
          <w:p w14:paraId="302ACE24" w14:textId="139B6F9B" w:rsidR="00DA7009" w:rsidRPr="003142FD" w:rsidRDefault="00DA7009" w:rsidP="00662BDE">
            <w:pPr>
              <w:keepLines/>
              <w:tabs>
                <w:tab w:val="left" w:pos="-720"/>
                <w:tab w:val="left" w:pos="0"/>
                <w:tab w:val="left" w:pos="720"/>
              </w:tabs>
              <w:spacing w:after="120" w:line="240" w:lineRule="atLeast"/>
              <w:jc w:val="right"/>
              <w:rPr>
                <w:sz w:val="20"/>
                <w:szCs w:val="20"/>
              </w:rPr>
            </w:pPr>
            <w:r w:rsidRPr="003142FD">
              <w:rPr>
                <w:sz w:val="20"/>
                <w:szCs w:val="20"/>
              </w:rPr>
              <w:t>$100.00 Boring under Road</w:t>
            </w:r>
          </w:p>
          <w:p w14:paraId="50143C98" w14:textId="5EF726ED" w:rsidR="00DA7009" w:rsidRPr="003142FD" w:rsidRDefault="00DA7009" w:rsidP="00662BDE">
            <w:pPr>
              <w:keepLines/>
              <w:tabs>
                <w:tab w:val="left" w:pos="-720"/>
                <w:tab w:val="left" w:pos="0"/>
                <w:tab w:val="left" w:pos="720"/>
              </w:tabs>
              <w:spacing w:after="120" w:line="240" w:lineRule="atLeast"/>
              <w:jc w:val="right"/>
              <w:rPr>
                <w:sz w:val="20"/>
                <w:szCs w:val="20"/>
              </w:rPr>
            </w:pPr>
            <w:r w:rsidRPr="003142FD">
              <w:rPr>
                <w:sz w:val="20"/>
                <w:szCs w:val="20"/>
              </w:rPr>
              <w:t xml:space="preserve">$500.00 Trenching through Town Roads </w:t>
            </w:r>
          </w:p>
        </w:tc>
      </w:tr>
      <w:tr w:rsidR="00DA7009" w:rsidRPr="00DA7009" w14:paraId="2A4D6C6A" w14:textId="77777777" w:rsidTr="003142FD">
        <w:trPr>
          <w:trHeight w:val="576"/>
        </w:trPr>
        <w:tc>
          <w:tcPr>
            <w:tcW w:w="6732" w:type="dxa"/>
            <w:shd w:val="clear" w:color="auto" w:fill="auto"/>
            <w:vAlign w:val="center"/>
          </w:tcPr>
          <w:p w14:paraId="56631B1E" w14:textId="26354D7A" w:rsidR="00DA7009" w:rsidRPr="00DA7009" w:rsidRDefault="00DA7009" w:rsidP="00662BDE">
            <w:pPr>
              <w:keepLines/>
              <w:numPr>
                <w:ilvl w:val="0"/>
                <w:numId w:val="1"/>
              </w:numPr>
              <w:tabs>
                <w:tab w:val="clear" w:pos="1320"/>
                <w:tab w:val="left" w:pos="-720"/>
              </w:tabs>
              <w:spacing w:after="120" w:line="240" w:lineRule="atLeast"/>
              <w:ind w:left="540"/>
              <w:jc w:val="left"/>
              <w:rPr>
                <w:sz w:val="22"/>
                <w:szCs w:val="22"/>
              </w:rPr>
            </w:pPr>
            <w:r w:rsidRPr="00DA7009">
              <w:rPr>
                <w:sz w:val="22"/>
                <w:szCs w:val="22"/>
              </w:rPr>
              <w:t>Wind Energy Systems</w:t>
            </w:r>
          </w:p>
        </w:tc>
        <w:tc>
          <w:tcPr>
            <w:tcW w:w="2915" w:type="dxa"/>
            <w:shd w:val="clear" w:color="auto" w:fill="auto"/>
            <w:vAlign w:val="center"/>
          </w:tcPr>
          <w:p w14:paraId="33143BF8" w14:textId="7DE159FF" w:rsidR="00DA7009" w:rsidRPr="00DA7009" w:rsidRDefault="00DA7009" w:rsidP="00662BDE">
            <w:pPr>
              <w:keepLines/>
              <w:tabs>
                <w:tab w:val="left" w:pos="-720"/>
                <w:tab w:val="left" w:pos="0"/>
                <w:tab w:val="left" w:pos="720"/>
              </w:tabs>
              <w:spacing w:after="120" w:line="240" w:lineRule="atLeast"/>
              <w:jc w:val="right"/>
              <w:rPr>
                <w:sz w:val="22"/>
                <w:szCs w:val="22"/>
              </w:rPr>
            </w:pPr>
            <w:r w:rsidRPr="00DA7009">
              <w:rPr>
                <w:sz w:val="22"/>
                <w:szCs w:val="22"/>
              </w:rPr>
              <w:t>Fees per West Kewaunee Ordinance No. 2010-G</w:t>
            </w:r>
          </w:p>
        </w:tc>
      </w:tr>
      <w:tr w:rsidR="00DA7009" w:rsidRPr="00DA7009" w14:paraId="7B88F0C6" w14:textId="77777777" w:rsidTr="003142FD">
        <w:trPr>
          <w:trHeight w:val="576"/>
        </w:trPr>
        <w:tc>
          <w:tcPr>
            <w:tcW w:w="6732" w:type="dxa"/>
            <w:shd w:val="clear" w:color="auto" w:fill="auto"/>
            <w:vAlign w:val="center"/>
          </w:tcPr>
          <w:p w14:paraId="7744F7BF" w14:textId="309F690A" w:rsidR="00DA7009" w:rsidRPr="00DA7009" w:rsidRDefault="00DA7009" w:rsidP="00662BDE">
            <w:pPr>
              <w:keepLines/>
              <w:numPr>
                <w:ilvl w:val="0"/>
                <w:numId w:val="1"/>
              </w:numPr>
              <w:tabs>
                <w:tab w:val="clear" w:pos="1320"/>
                <w:tab w:val="left" w:pos="-720"/>
              </w:tabs>
              <w:spacing w:after="120" w:line="240" w:lineRule="atLeast"/>
              <w:ind w:left="540"/>
              <w:jc w:val="left"/>
              <w:rPr>
                <w:sz w:val="22"/>
                <w:szCs w:val="22"/>
              </w:rPr>
            </w:pPr>
            <w:r w:rsidRPr="00DA7009">
              <w:rPr>
                <w:sz w:val="22"/>
                <w:szCs w:val="22"/>
              </w:rPr>
              <w:t>Mobile Home Park</w:t>
            </w:r>
          </w:p>
        </w:tc>
        <w:tc>
          <w:tcPr>
            <w:tcW w:w="2915" w:type="dxa"/>
            <w:shd w:val="clear" w:color="auto" w:fill="auto"/>
            <w:vAlign w:val="center"/>
          </w:tcPr>
          <w:p w14:paraId="09D76A32" w14:textId="47D826C3" w:rsidR="00DA7009" w:rsidRPr="00DA7009" w:rsidRDefault="00DA7009" w:rsidP="00662BDE">
            <w:pPr>
              <w:keepLines/>
              <w:tabs>
                <w:tab w:val="left" w:pos="-720"/>
                <w:tab w:val="left" w:pos="0"/>
                <w:tab w:val="left" w:pos="720"/>
              </w:tabs>
              <w:spacing w:after="120" w:line="240" w:lineRule="atLeast"/>
              <w:jc w:val="right"/>
              <w:rPr>
                <w:sz w:val="22"/>
                <w:szCs w:val="22"/>
              </w:rPr>
            </w:pPr>
            <w:r w:rsidRPr="00DA7009">
              <w:rPr>
                <w:sz w:val="22"/>
                <w:szCs w:val="22"/>
              </w:rPr>
              <w:t>Per Comm 95.05 –</w:t>
            </w:r>
          </w:p>
          <w:p w14:paraId="2BE1410A" w14:textId="783F274D" w:rsidR="00DA7009" w:rsidRPr="00DA7009" w:rsidRDefault="00DA7009" w:rsidP="00662BDE">
            <w:pPr>
              <w:keepLines/>
              <w:tabs>
                <w:tab w:val="left" w:pos="-720"/>
                <w:tab w:val="left" w:pos="0"/>
                <w:tab w:val="left" w:pos="720"/>
              </w:tabs>
              <w:spacing w:after="120" w:line="240" w:lineRule="atLeast"/>
              <w:jc w:val="right"/>
              <w:rPr>
                <w:sz w:val="22"/>
                <w:szCs w:val="22"/>
              </w:rPr>
            </w:pPr>
            <w:r w:rsidRPr="00DA7009">
              <w:rPr>
                <w:sz w:val="22"/>
                <w:szCs w:val="22"/>
              </w:rPr>
              <w:t>Wisconsin Administrative Code</w:t>
            </w:r>
          </w:p>
        </w:tc>
      </w:tr>
      <w:tr w:rsidR="00DA7009" w:rsidRPr="00DA7009" w14:paraId="1781844C" w14:textId="77777777" w:rsidTr="003142FD">
        <w:trPr>
          <w:trHeight w:val="70"/>
        </w:trPr>
        <w:tc>
          <w:tcPr>
            <w:tcW w:w="6732" w:type="dxa"/>
            <w:shd w:val="clear" w:color="auto" w:fill="auto"/>
            <w:vAlign w:val="center"/>
          </w:tcPr>
          <w:p w14:paraId="4F89DB75" w14:textId="5FC92E09" w:rsidR="00DA7009" w:rsidRPr="00DA7009" w:rsidRDefault="00DA7009" w:rsidP="00DA7009">
            <w:pPr>
              <w:keepLines/>
              <w:tabs>
                <w:tab w:val="left" w:pos="-720"/>
              </w:tabs>
              <w:spacing w:after="120" w:line="240" w:lineRule="atLeast"/>
              <w:ind w:left="540"/>
              <w:jc w:val="left"/>
              <w:rPr>
                <w:sz w:val="22"/>
                <w:szCs w:val="22"/>
              </w:rPr>
            </w:pPr>
          </w:p>
        </w:tc>
        <w:tc>
          <w:tcPr>
            <w:tcW w:w="2915" w:type="dxa"/>
            <w:shd w:val="clear" w:color="auto" w:fill="auto"/>
            <w:vAlign w:val="center"/>
          </w:tcPr>
          <w:p w14:paraId="76B4F756" w14:textId="0CAD3ABC" w:rsidR="00DA7009" w:rsidRPr="00DA7009" w:rsidRDefault="00DA7009" w:rsidP="00662BDE">
            <w:pPr>
              <w:keepLines/>
              <w:tabs>
                <w:tab w:val="left" w:pos="-720"/>
                <w:tab w:val="left" w:pos="0"/>
                <w:tab w:val="left" w:pos="720"/>
              </w:tabs>
              <w:spacing w:after="120" w:line="240" w:lineRule="atLeast"/>
              <w:jc w:val="right"/>
              <w:rPr>
                <w:sz w:val="22"/>
                <w:szCs w:val="22"/>
              </w:rPr>
            </w:pPr>
          </w:p>
        </w:tc>
      </w:tr>
    </w:tbl>
    <w:p w14:paraId="5EBD1A5E" w14:textId="77777777" w:rsidR="00DA7009" w:rsidRPr="00DA7009" w:rsidRDefault="00DA7009" w:rsidP="00DA7009">
      <w:pPr>
        <w:keepLines/>
        <w:spacing w:after="120"/>
        <w:rPr>
          <w:b/>
          <w:sz w:val="22"/>
          <w:szCs w:val="22"/>
        </w:rPr>
      </w:pPr>
      <w:r w:rsidRPr="00DA7009">
        <w:rPr>
          <w:b/>
          <w:sz w:val="22"/>
          <w:szCs w:val="22"/>
        </w:rPr>
        <w:t>NOTES:</w:t>
      </w:r>
    </w:p>
    <w:p w14:paraId="17A98249" w14:textId="179F90FF" w:rsidR="00DA7009" w:rsidRDefault="00DA7009" w:rsidP="00DA7009">
      <w:pPr>
        <w:keepLines/>
        <w:numPr>
          <w:ilvl w:val="0"/>
          <w:numId w:val="2"/>
        </w:numPr>
        <w:tabs>
          <w:tab w:val="clear" w:pos="1320"/>
        </w:tabs>
        <w:spacing w:after="60" w:line="240" w:lineRule="auto"/>
        <w:ind w:left="360"/>
        <w:rPr>
          <w:sz w:val="22"/>
          <w:szCs w:val="22"/>
        </w:rPr>
      </w:pPr>
      <w:r w:rsidRPr="00DA7009">
        <w:rPr>
          <w:sz w:val="22"/>
          <w:szCs w:val="22"/>
        </w:rPr>
        <w:t>All fees for permits and hearings shall be doubled when work or action is taken by applicants or their agents prior to requesting the required permits or hearings.</w:t>
      </w:r>
    </w:p>
    <w:p w14:paraId="5F8A50E4" w14:textId="3041A395" w:rsidR="003142FD" w:rsidRDefault="003142FD" w:rsidP="00DA7009">
      <w:pPr>
        <w:keepLines/>
        <w:numPr>
          <w:ilvl w:val="0"/>
          <w:numId w:val="2"/>
        </w:numPr>
        <w:tabs>
          <w:tab w:val="clear" w:pos="1320"/>
        </w:tabs>
        <w:spacing w:after="60" w:line="240" w:lineRule="auto"/>
        <w:ind w:left="360"/>
        <w:rPr>
          <w:sz w:val="22"/>
          <w:szCs w:val="22"/>
        </w:rPr>
      </w:pPr>
      <w:r>
        <w:rPr>
          <w:sz w:val="22"/>
          <w:szCs w:val="22"/>
        </w:rPr>
        <w:t>Building permits are void after six (6) months unless substantial work has commenced and expire one year of issuance.  Permits may be renewed for one additional year, if requested in writing to the Zoning Administrator prior to the permit expiration.</w:t>
      </w:r>
    </w:p>
    <w:p w14:paraId="1FCBC4FC" w14:textId="6BA51FB8" w:rsidR="003142FD" w:rsidRPr="00DA7009" w:rsidRDefault="003142FD" w:rsidP="00DA7009">
      <w:pPr>
        <w:keepLines/>
        <w:numPr>
          <w:ilvl w:val="0"/>
          <w:numId w:val="2"/>
        </w:numPr>
        <w:tabs>
          <w:tab w:val="clear" w:pos="1320"/>
        </w:tabs>
        <w:spacing w:after="60" w:line="240" w:lineRule="auto"/>
        <w:ind w:left="360"/>
        <w:rPr>
          <w:sz w:val="22"/>
          <w:szCs w:val="22"/>
        </w:rPr>
      </w:pPr>
      <w:r>
        <w:rPr>
          <w:sz w:val="22"/>
          <w:szCs w:val="22"/>
        </w:rPr>
        <w:t>***Any road crossing must be maintained by applicants for a period of two (2) years for settling, etc.</w:t>
      </w:r>
    </w:p>
    <w:p w14:paraId="57360E57" w14:textId="77777777" w:rsidR="0024655A" w:rsidRPr="00DA7009" w:rsidRDefault="0024655A">
      <w:pPr>
        <w:rPr>
          <w:sz w:val="22"/>
          <w:szCs w:val="22"/>
        </w:rPr>
      </w:pPr>
    </w:p>
    <w:sectPr w:rsidR="0024655A" w:rsidRPr="00DA7009" w:rsidSect="003142FD">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10689"/>
    <w:multiLevelType w:val="hybridMultilevel"/>
    <w:tmpl w:val="02D87D40"/>
    <w:lvl w:ilvl="0" w:tplc="0409000F">
      <w:start w:val="1"/>
      <w:numFmt w:val="decimal"/>
      <w:lvlText w:val="%1."/>
      <w:lvlJc w:val="left"/>
      <w:pPr>
        <w:tabs>
          <w:tab w:val="num" w:pos="1320"/>
        </w:tabs>
        <w:ind w:left="1320" w:hanging="360"/>
      </w:pPr>
    </w:lvl>
    <w:lvl w:ilvl="1" w:tplc="495CE206">
      <w:start w:val="1"/>
      <w:numFmt w:val="bullet"/>
      <w:lvlText w:val=""/>
      <w:lvlJc w:val="left"/>
      <w:pPr>
        <w:tabs>
          <w:tab w:val="num" w:pos="2040"/>
        </w:tabs>
        <w:ind w:left="2040" w:hanging="360"/>
      </w:pPr>
      <w:rPr>
        <w:rFonts w:ascii="Symbol" w:hAnsi="Symbol"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 w15:restartNumberingAfterBreak="0">
    <w:nsid w:val="66C43B2F"/>
    <w:multiLevelType w:val="hybridMultilevel"/>
    <w:tmpl w:val="56FC8530"/>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16cid:durableId="926690080">
    <w:abstractNumId w:val="0"/>
  </w:num>
  <w:num w:numId="2" w16cid:durableId="190271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09"/>
    <w:rsid w:val="0024655A"/>
    <w:rsid w:val="003142FD"/>
    <w:rsid w:val="0047766C"/>
    <w:rsid w:val="008C295B"/>
    <w:rsid w:val="00B94D14"/>
    <w:rsid w:val="00BB4C75"/>
    <w:rsid w:val="00DA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90F7"/>
  <w15:chartTrackingRefBased/>
  <w15:docId w15:val="{657CDA88-A211-4DC9-9DFD-83D46B52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009"/>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Lauscher</dc:creator>
  <cp:keywords/>
  <dc:description/>
  <cp:lastModifiedBy>Edith Lauscher</cp:lastModifiedBy>
  <cp:revision>2</cp:revision>
  <cp:lastPrinted>2019-05-21T18:37:00Z</cp:lastPrinted>
  <dcterms:created xsi:type="dcterms:W3CDTF">2024-07-22T15:21:00Z</dcterms:created>
  <dcterms:modified xsi:type="dcterms:W3CDTF">2024-07-22T15:21:00Z</dcterms:modified>
</cp:coreProperties>
</file>